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523333B" w14:textId="398F3E3C" w:rsidR="008627FE" w:rsidRDefault="00AF6F30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Lettova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 zpráva</w:t>
      </w:r>
    </w:p>
    <w:p w14:paraId="3DF3FC83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 xml:space="preserve">Radě pro výzkum, vývoj a inovace se předkládá pro informaci stručný souhrn o zprávě Enrica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Letty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„Mnohem více než trh: rychlost, bezpečnost, solidarita – Posílení jednotného trhu za účelem udržitelné budoucnosti a prosperity pro všechny občany EU/Much more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than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a market: speed, security, solidarity –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Empowering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the Single Market to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deliver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sustainable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future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and prosperity for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all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EU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Citizens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>“ (dále jen „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Lettova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zpráva“), představené v dubnu 2024.</w:t>
      </w:r>
    </w:p>
    <w:p w14:paraId="542B10F2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 xml:space="preserve">Enrico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Letta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>, bývalý italský premiér, byl v roce 2023 pověřen Evropskou radou k vypracování nezávislé zprávy o budoucnosti vnitřního trhu Evropské unie.</w:t>
      </w:r>
    </w:p>
    <w:p w14:paraId="1335E836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 xml:space="preserve">Základní myšlenkou zprávy je potřeba „nového vnitřního trhu“. Pro evropské firmy totiž vnitřní trh už není jedinou možností, kde působit, a to i vzhledem k různým pobídkám na přesunutí mimo evropský trh, např. do USA, kde je méně byrokratické zátěže, kterou způsobuje mj. fragmentace vnitřního trhu,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gold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plating</w:t>
      </w:r>
      <w:proofErr w:type="spellEnd"/>
      <w:r w:rsidRPr="00AF6F30">
        <w:rPr>
          <w:bCs/>
        </w:rPr>
        <w:footnoteReference w:id="1"/>
      </w:r>
      <w:r w:rsidRPr="00AF6F30">
        <w:rPr>
          <w:rFonts w:ascii="Arial" w:hAnsi="Arial" w:cs="Arial"/>
          <w:bCs/>
          <w:sz w:val="22"/>
          <w:szCs w:val="22"/>
        </w:rPr>
        <w:t xml:space="preserve"> či nedostatečná harmonizace.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Letta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v tomto kontextu navrhuje, aby unijní instituce při regulaci vnitřního trhu upřednostňovaly formu nařízení, využívaly právní základ vnitřního trhu, (čl. 114 SFEU), a následně pak zdůrazňuje potřebu důsledného vymáhání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vnitrotržních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pravidel.</w:t>
      </w:r>
    </w:p>
    <w:p w14:paraId="161A205C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 xml:space="preserve">Zároveň konstatuje, že vnitřní trh nikdy nebyl čistě technickým, nýbrž vždy hlavně politickým projektem, který současně nikdy nebude zcela dokončen.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Letta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zdůrazňuje, že „restart“ vnitřního trhu musí vycházet ze spolupráce mnoha aktérů – institucí EU, členských států, podniků, občanů, zaměstnanců a občanské společnosti.</w:t>
      </w:r>
    </w:p>
    <w:p w14:paraId="03581A81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AF6F30">
        <w:rPr>
          <w:rFonts w:ascii="Arial" w:hAnsi="Arial" w:cs="Arial"/>
          <w:bCs/>
          <w:sz w:val="22"/>
          <w:szCs w:val="22"/>
        </w:rPr>
        <w:t>Lettova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zpráva je členěna do šesti kapitol, které se týkají: 1) nové páté svobody vnitřního trhu v oblasti výzkumu a vývoje, inovací a vzdělávání, 2) financování strategických cílů Unie, 3) podmínek pro velké podniky na vnitřním trhu, 4) udržitelného vnitřního trhu pro všechny, 5) tvorby a vymáhání pravidel vnitřního trhu a 6) externí dimenze vnitřního trhu.</w:t>
      </w:r>
    </w:p>
    <w:p w14:paraId="65FD795D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AF6F30">
        <w:rPr>
          <w:rFonts w:ascii="Arial" w:hAnsi="Arial" w:cs="Arial"/>
          <w:bCs/>
          <w:sz w:val="22"/>
          <w:szCs w:val="22"/>
        </w:rPr>
        <w:t>Lettova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zpráva je obsáhlá a nabízí celou řadu návrhů a doporučení pro vnitřní trh, kdy některé z nich jsou rozpracovány podrobně v podobě cestovních map, zatímco jiné jsou jen zevrubně představeny bez detailních návrhů dalších kroků. Představuje však komplexní vizi transformace Evropského jednotného trhu prostřednictvím klíčových strategických směrů: digitální a zelené transformace, posílení výzkumu a inovací, autonomie v obraně a bezpečnosti a rozšíření Evropské unie. Navrhuje zavedení páté svobody, která má podpořit volný pohyb znalostí, VaVaI a vzdělávání, což má Evropské unii zajistit opětovnou vedoucí pozici v celosvětovém měřítku.</w:t>
      </w:r>
    </w:p>
    <w:p w14:paraId="1A8984AA" w14:textId="4CA965F1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>Klíčové iniciativy zahrnují </w:t>
      </w:r>
      <w:r w:rsidRPr="00AF6F30">
        <w:rPr>
          <w:rFonts w:ascii="Arial" w:hAnsi="Arial" w:cs="Arial"/>
          <w:sz w:val="22"/>
          <w:szCs w:val="22"/>
        </w:rPr>
        <w:t xml:space="preserve">podporu startupů, </w:t>
      </w:r>
      <w:proofErr w:type="spellStart"/>
      <w:r w:rsidRPr="00AF6F30">
        <w:rPr>
          <w:rFonts w:ascii="Arial" w:hAnsi="Arial" w:cs="Arial"/>
          <w:sz w:val="22"/>
          <w:szCs w:val="22"/>
        </w:rPr>
        <w:t>scaleupů</w:t>
      </w:r>
      <w:proofErr w:type="spellEnd"/>
      <w:r w:rsidRPr="00AF6F30">
        <w:rPr>
          <w:rFonts w:ascii="Arial" w:hAnsi="Arial" w:cs="Arial"/>
          <w:sz w:val="22"/>
          <w:szCs w:val="22"/>
        </w:rPr>
        <w:t xml:space="preserve"> a malých a středních podniků</w:t>
      </w:r>
      <w:r w:rsidRPr="00AF6F30">
        <w:rPr>
          <w:rFonts w:ascii="Arial" w:hAnsi="Arial" w:cs="Arial"/>
          <w:bCs/>
          <w:sz w:val="22"/>
          <w:szCs w:val="22"/>
        </w:rPr>
        <w:t xml:space="preserve">, zlepšení přístupu k financování, zjednodušení a podporu partnerství veřejného a soukromého sektoru. Zpráva také zdůrazňuje význam regulací strategické autonomie v sektoru obrany a digitální </w:t>
      </w:r>
      <w:r w:rsidRPr="00AF6F30">
        <w:rPr>
          <w:rFonts w:ascii="Arial" w:hAnsi="Arial" w:cs="Arial"/>
          <w:bCs/>
          <w:sz w:val="22"/>
          <w:szCs w:val="22"/>
        </w:rPr>
        <w:lastRenderedPageBreak/>
        <w:t>suverenity, s důrazem na sladění bezpečnostních politik s energetickou a digitální infrastrukturou.</w:t>
      </w:r>
    </w:p>
    <w:p w14:paraId="28B34101" w14:textId="77777777" w:rsidR="00AF6F30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FD195A2" w14:textId="77777777" w:rsidR="00AF6F30" w:rsidRPr="00AF6F30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F30">
        <w:rPr>
          <w:rFonts w:ascii="Arial" w:hAnsi="Arial" w:cs="Arial"/>
          <w:b/>
          <w:color w:val="0070C0"/>
          <w:sz w:val="22"/>
          <w:szCs w:val="22"/>
        </w:rPr>
        <w:t>Pátá svoboda</w:t>
      </w:r>
    </w:p>
    <w:p w14:paraId="266652A0" w14:textId="77777777" w:rsidR="00AF6F30" w:rsidRPr="00F908E8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1A1A36"/>
          <w:sz w:val="22"/>
          <w:szCs w:val="22"/>
        </w:rPr>
      </w:pPr>
    </w:p>
    <w:p w14:paraId="3E7C97D2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 xml:space="preserve">Z hlediska oblasti VaVaI se jeví velmi zajímavě návrh nové, páté základní svobody pro jednotný trh, která by vedle volného pohybu osob, zboží, služeb a kapitálu nově zapojovala výzkum, inovace a vzdělávání. Potřeba ustanovení této páté svobody je odůvodňována tím, že existující čtyři svobody volného pohybu nejsou schopny plně pokrýt potřeby 21. století, jakými jsou například digitalizace či prolínání zboží a služeb. </w:t>
      </w:r>
    </w:p>
    <w:p w14:paraId="4CD92902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0703C6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>Zpráva v rámci této nové, páté, svobody zdůrazňuje několik aspektů:</w:t>
      </w:r>
    </w:p>
    <w:p w14:paraId="222898CD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Potřeba evropské průmyslové politiky.</w:t>
      </w:r>
      <w:r w:rsidRPr="00AF6F30">
        <w:rPr>
          <w:rFonts w:ascii="Arial" w:hAnsi="Arial" w:cs="Arial"/>
          <w:bCs/>
          <w:sz w:val="22"/>
          <w:szCs w:val="22"/>
        </w:rPr>
        <w:t xml:space="preserve"> Pro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Lettu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zahrnuje cesta k páté svobodě výzkumu a inovací stimulaci inovací s cílem vytvořit přední průmyslové ekosystémy schopné produkovat globálně důležité subjekty v Evropě.</w:t>
      </w:r>
    </w:p>
    <w:p w14:paraId="0A7AAA19" w14:textId="2BB1A85C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Společné evropské datové prostory.</w:t>
      </w:r>
      <w:r w:rsidRPr="00AF6F30">
        <w:rPr>
          <w:rFonts w:ascii="Arial" w:hAnsi="Arial" w:cs="Arial"/>
          <w:bCs/>
          <w:sz w:val="22"/>
          <w:szCs w:val="22"/>
        </w:rPr>
        <w:t> To zahrnuje vybudování nového modelu správy s</w:t>
      </w:r>
      <w:r>
        <w:rPr>
          <w:rFonts w:ascii="Arial" w:hAnsi="Arial" w:cs="Arial"/>
          <w:bCs/>
          <w:sz w:val="22"/>
          <w:szCs w:val="22"/>
        </w:rPr>
        <w:t> </w:t>
      </w:r>
      <w:r w:rsidRPr="00AF6F30">
        <w:rPr>
          <w:rFonts w:ascii="Arial" w:hAnsi="Arial" w:cs="Arial"/>
          <w:bCs/>
          <w:sz w:val="22"/>
          <w:szCs w:val="22"/>
        </w:rPr>
        <w:t xml:space="preserve">kolektivní průmyslovou politikou a překračující národní hranice: evropské centrum znalostí jako centralizovaná digitální platforma poskytující přístup k veřejně financovanému výzkumu, datovým souborům a vzdělávacím zdrojům, podporující rozvoj evropských datových prostorů v klíčových sektorech, jako je Evropský datový prostor v oblasti zdraví/European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Health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Data </w:t>
      </w:r>
      <w:proofErr w:type="spellStart"/>
      <w:r w:rsidRPr="00AF6F30">
        <w:rPr>
          <w:rFonts w:ascii="Arial" w:hAnsi="Arial" w:cs="Arial"/>
          <w:bCs/>
          <w:sz w:val="22"/>
          <w:szCs w:val="22"/>
        </w:rPr>
        <w:t>Space</w:t>
      </w:r>
      <w:proofErr w:type="spellEnd"/>
      <w:r w:rsidRPr="00AF6F30">
        <w:rPr>
          <w:rFonts w:ascii="Arial" w:hAnsi="Arial" w:cs="Arial"/>
          <w:bCs/>
          <w:sz w:val="22"/>
          <w:szCs w:val="22"/>
        </w:rPr>
        <w:t xml:space="preserve"> (EHDS).</w:t>
      </w:r>
    </w:p>
    <w:p w14:paraId="1EDC2859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Podpora spolupráce veřejného a soukromého sektoru.</w:t>
      </w:r>
      <w:r w:rsidRPr="00AF6F30">
        <w:rPr>
          <w:rFonts w:ascii="Arial" w:hAnsi="Arial" w:cs="Arial"/>
          <w:bCs/>
          <w:sz w:val="22"/>
          <w:szCs w:val="22"/>
        </w:rPr>
        <w:t> K urychlení inovací, řešení společenských výzev a posílení evropské konkurenceschopnosti by EU měla aktivně podporovat partnerství veřejného a soukromého sektoru ve strategických oblastech zaměřených na sdílení znalostí a zavádění inovací se zvláštní podporou pro malé a střední podniky a začínající podniky.</w:t>
      </w:r>
    </w:p>
    <w:p w14:paraId="7F0498B3" w14:textId="33FA235D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Rozvoj technologických infrastruktur (superpočítačů).</w:t>
      </w:r>
      <w:r w:rsidRPr="00AF6F30">
        <w:rPr>
          <w:rFonts w:ascii="Arial" w:hAnsi="Arial" w:cs="Arial"/>
          <w:bCs/>
          <w:sz w:val="22"/>
          <w:szCs w:val="22"/>
        </w:rPr>
        <w:t> Klíčovým pilířem páté svobody jsou výzkumné infrastruktury, které rovněž upřednostňují sdílenou síť výpočetních zdrojů a</w:t>
      </w:r>
      <w:r>
        <w:rPr>
          <w:rFonts w:ascii="Arial" w:hAnsi="Arial" w:cs="Arial"/>
          <w:bCs/>
          <w:sz w:val="22"/>
          <w:szCs w:val="22"/>
        </w:rPr>
        <w:t> </w:t>
      </w:r>
      <w:r w:rsidRPr="00AF6F30">
        <w:rPr>
          <w:rFonts w:ascii="Arial" w:hAnsi="Arial" w:cs="Arial"/>
          <w:bCs/>
          <w:sz w:val="22"/>
          <w:szCs w:val="22"/>
        </w:rPr>
        <w:t>superpočítačů, aby umožnily výzkumníkům a podnikům přístup ke kritickým, vysoce výkonným výpočetním schopnostem.</w:t>
      </w:r>
    </w:p>
    <w:p w14:paraId="6E62F7F8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Cs/>
          <w:sz w:val="22"/>
          <w:szCs w:val="22"/>
        </w:rPr>
        <w:t>Vedoucí postavení EU ve vývoji </w:t>
      </w:r>
      <w:r w:rsidRPr="00AF6F30">
        <w:rPr>
          <w:rFonts w:ascii="Arial" w:hAnsi="Arial" w:cs="Arial"/>
          <w:b/>
          <w:sz w:val="22"/>
          <w:szCs w:val="22"/>
        </w:rPr>
        <w:t>umělé inteligence založené na etických standardech</w:t>
      </w:r>
      <w:r w:rsidRPr="00AF6F30">
        <w:rPr>
          <w:rFonts w:ascii="Arial" w:hAnsi="Arial" w:cs="Arial"/>
          <w:bCs/>
          <w:sz w:val="22"/>
          <w:szCs w:val="22"/>
        </w:rPr>
        <w:t> a při vytváření atraktivního prostředí pro výzkumné pracovníky, start-upy a společnosti.</w:t>
      </w:r>
    </w:p>
    <w:p w14:paraId="65CFE97D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Investice do výzkumu a inovací.</w:t>
      </w:r>
      <w:r w:rsidRPr="00AF6F30">
        <w:rPr>
          <w:rFonts w:ascii="Arial" w:hAnsi="Arial" w:cs="Arial"/>
          <w:bCs/>
          <w:sz w:val="22"/>
          <w:szCs w:val="22"/>
        </w:rPr>
        <w:t> Veřejný i soukromý sektor by měly sladit své strategie financování v této oblasti, což je nanejvýš důležité.</w:t>
      </w:r>
    </w:p>
    <w:p w14:paraId="743D5F1C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Otevřená věda</w:t>
      </w:r>
      <w:r w:rsidRPr="00AF6F30">
        <w:rPr>
          <w:rFonts w:ascii="Arial" w:hAnsi="Arial" w:cs="Arial"/>
          <w:bCs/>
          <w:sz w:val="22"/>
          <w:szCs w:val="22"/>
        </w:rPr>
        <w:t> zajišťující dostupnost výzkumu a bezproblémovou spolupráci napříč obory, sektory a hranicemi.</w:t>
      </w:r>
    </w:p>
    <w:p w14:paraId="7176BB4A" w14:textId="77777777" w:rsidR="00AF6F30" w:rsidRPr="00AF6F30" w:rsidRDefault="00AF6F30" w:rsidP="00AF6F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AF6F30">
        <w:rPr>
          <w:rFonts w:ascii="Arial" w:hAnsi="Arial" w:cs="Arial"/>
          <w:b/>
          <w:sz w:val="22"/>
          <w:szCs w:val="22"/>
        </w:rPr>
        <w:t>Politická rozhodnutí založená na důkazech.</w:t>
      </w:r>
    </w:p>
    <w:p w14:paraId="72FC0B7A" w14:textId="77777777" w:rsidR="00AF6F30" w:rsidRPr="00574F00" w:rsidRDefault="00AF6F30" w:rsidP="00AF6F30">
      <w:pPr>
        <w:ind w:left="720"/>
        <w:jc w:val="both"/>
        <w:rPr>
          <w:rStyle w:val="Siln"/>
          <w:rFonts w:ascii="PT Serif" w:hAnsi="PT Serif"/>
          <w:b w:val="0"/>
          <w:bCs w:val="0"/>
          <w:color w:val="1A1A36"/>
        </w:rPr>
      </w:pPr>
    </w:p>
    <w:p w14:paraId="4A51426D" w14:textId="77777777" w:rsidR="00AF6F30" w:rsidRPr="00AF6F30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F30">
        <w:rPr>
          <w:rFonts w:ascii="Arial" w:hAnsi="Arial" w:cs="Arial"/>
          <w:b/>
          <w:color w:val="0070C0"/>
          <w:sz w:val="22"/>
          <w:szCs w:val="22"/>
        </w:rPr>
        <w:t>Podpora podnikům (malé a střední, velké) na vnitřním trhu</w:t>
      </w:r>
    </w:p>
    <w:p w14:paraId="2A6E3A39" w14:textId="77777777" w:rsidR="00AF6F30" w:rsidRPr="00711F75" w:rsidRDefault="00AF6F30" w:rsidP="00AF6F30">
      <w:pPr>
        <w:pStyle w:val="Normlnweb"/>
        <w:shd w:val="clear" w:color="auto" w:fill="FFFFFF"/>
        <w:spacing w:before="60" w:before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353535"/>
          <w:sz w:val="22"/>
          <w:szCs w:val="22"/>
        </w:rPr>
        <w:t>Zde je deklarovaným c</w:t>
      </w:r>
      <w:r w:rsidRPr="00711F75">
        <w:rPr>
          <w:rFonts w:ascii="Arial" w:hAnsi="Arial" w:cs="Arial"/>
          <w:color w:val="353535"/>
          <w:sz w:val="22"/>
          <w:szCs w:val="22"/>
        </w:rPr>
        <w:t>ílem, aby i velké společnosti mohly být v globálním měřítku ještě větší a</w:t>
      </w:r>
      <w:r>
        <w:rPr>
          <w:rFonts w:ascii="Arial" w:hAnsi="Arial" w:cs="Arial"/>
          <w:color w:val="353535"/>
          <w:sz w:val="22"/>
          <w:szCs w:val="22"/>
        </w:rPr>
        <w:t> </w:t>
      </w:r>
      <w:r w:rsidRPr="00711F75">
        <w:rPr>
          <w:rFonts w:ascii="Arial" w:hAnsi="Arial" w:cs="Arial"/>
          <w:color w:val="353535"/>
          <w:sz w:val="22"/>
          <w:szCs w:val="22"/>
        </w:rPr>
        <w:t>konkurenceschopnější vůči globálním konkurentům. V tomto kontextu je klíčová podpora podniků právě ve fázi jejich růstu z malých firem na firmy velké. Toto stádium nazvané </w:t>
      </w:r>
      <w:proofErr w:type="spellStart"/>
      <w:r w:rsidRPr="00711F75">
        <w:rPr>
          <w:rStyle w:val="Zdraznn"/>
          <w:rFonts w:ascii="Arial" w:hAnsi="Arial" w:cs="Arial"/>
          <w:color w:val="353535"/>
          <w:sz w:val="22"/>
          <w:szCs w:val="22"/>
        </w:rPr>
        <w:t>scale</w:t>
      </w:r>
      <w:proofErr w:type="spellEnd"/>
      <w:r w:rsidRPr="00711F75">
        <w:rPr>
          <w:rStyle w:val="Zdraznn"/>
          <w:rFonts w:ascii="Arial" w:hAnsi="Arial" w:cs="Arial"/>
          <w:color w:val="353535"/>
          <w:sz w:val="22"/>
          <w:szCs w:val="22"/>
        </w:rPr>
        <w:t>-up</w:t>
      </w:r>
      <w:r w:rsidRPr="00711F75">
        <w:rPr>
          <w:rFonts w:ascii="Arial" w:hAnsi="Arial" w:cs="Arial"/>
          <w:color w:val="353535"/>
          <w:sz w:val="22"/>
          <w:szCs w:val="22"/>
        </w:rPr>
        <w:t xml:space="preserve"> je slabým místem EU, kde řada firem vzniká, nicméně ve fázi růstu utíká do zámoří. Autor </w:t>
      </w:r>
      <w:r w:rsidRPr="00711F75">
        <w:rPr>
          <w:rFonts w:ascii="Arial" w:hAnsi="Arial" w:cs="Arial"/>
          <w:color w:val="353535"/>
          <w:sz w:val="22"/>
          <w:szCs w:val="22"/>
        </w:rPr>
        <w:lastRenderedPageBreak/>
        <w:t xml:space="preserve">však zároveň upozorňuje na potřebu zachování evropského modelu, který se opírá o zásadní propojení mezi velkými a malými podniky a aktivně zajišťuje rovné podmínky. V této souvislosti </w:t>
      </w:r>
      <w:r>
        <w:rPr>
          <w:rFonts w:ascii="Arial" w:hAnsi="Arial" w:cs="Arial"/>
          <w:color w:val="353535"/>
          <w:sz w:val="22"/>
          <w:szCs w:val="22"/>
        </w:rPr>
        <w:t>se navrhuje</w:t>
      </w:r>
      <w:r w:rsidRPr="00711F75">
        <w:rPr>
          <w:rFonts w:ascii="Arial" w:hAnsi="Arial" w:cs="Arial"/>
          <w:color w:val="353535"/>
          <w:sz w:val="22"/>
          <w:szCs w:val="22"/>
        </w:rPr>
        <w:t xml:space="preserve"> ustanovit „Evropský kodex obchodního práva“ a vytvoření 28. (společného) režimu pro fungování podniků, který by byl doplňkový k 27 režimům členských států. Tento společný režim by tak měl podnikům zásadně usnadnit jejich působení na vnitřním trhu.</w:t>
      </w:r>
    </w:p>
    <w:p w14:paraId="61BC6263" w14:textId="77777777" w:rsidR="00AF6F30" w:rsidRPr="00AF6F30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F30">
        <w:rPr>
          <w:rFonts w:ascii="Arial" w:hAnsi="Arial" w:cs="Arial"/>
          <w:b/>
          <w:color w:val="0070C0"/>
          <w:sz w:val="22"/>
          <w:szCs w:val="22"/>
        </w:rPr>
        <w:t xml:space="preserve">Rozšiřování EU </w:t>
      </w:r>
    </w:p>
    <w:p w14:paraId="13176D53" w14:textId="77777777" w:rsidR="00AF6F30" w:rsidRPr="00711F75" w:rsidRDefault="00AF6F30" w:rsidP="00AF6F30">
      <w:pPr>
        <w:pStyle w:val="-box"/>
        <w:shd w:val="clear" w:color="auto" w:fill="FFFFFF"/>
        <w:spacing w:before="0" w:beforeAutospacing="0"/>
        <w:jc w:val="both"/>
        <w:rPr>
          <w:rFonts w:ascii="Arial" w:hAnsi="Arial" w:cs="Arial"/>
          <w:color w:val="353535"/>
          <w:sz w:val="22"/>
          <w:szCs w:val="22"/>
        </w:rPr>
      </w:pPr>
      <w:r w:rsidRPr="00711F75">
        <w:rPr>
          <w:rFonts w:ascii="Arial" w:hAnsi="Arial" w:cs="Arial"/>
          <w:color w:val="353535"/>
          <w:sz w:val="22"/>
          <w:szCs w:val="22"/>
        </w:rPr>
        <w:t xml:space="preserve">Rozšiřování EU považuje </w:t>
      </w:r>
      <w:proofErr w:type="spellStart"/>
      <w:r w:rsidRPr="00711F75">
        <w:rPr>
          <w:rFonts w:ascii="Arial" w:hAnsi="Arial" w:cs="Arial"/>
          <w:color w:val="353535"/>
          <w:sz w:val="22"/>
          <w:szCs w:val="22"/>
        </w:rPr>
        <w:t>Lett</w:t>
      </w:r>
      <w:r>
        <w:rPr>
          <w:rFonts w:ascii="Arial" w:hAnsi="Arial" w:cs="Arial"/>
          <w:color w:val="353535"/>
          <w:sz w:val="22"/>
          <w:szCs w:val="22"/>
        </w:rPr>
        <w:t>ova</w:t>
      </w:r>
      <w:proofErr w:type="spellEnd"/>
      <w:r>
        <w:rPr>
          <w:rFonts w:ascii="Arial" w:hAnsi="Arial" w:cs="Arial"/>
          <w:color w:val="353535"/>
          <w:sz w:val="22"/>
          <w:szCs w:val="22"/>
        </w:rPr>
        <w:t xml:space="preserve"> </w:t>
      </w:r>
      <w:r w:rsidRPr="00711F75">
        <w:rPr>
          <w:rFonts w:ascii="Arial" w:hAnsi="Arial" w:cs="Arial"/>
          <w:color w:val="353535"/>
          <w:sz w:val="22"/>
          <w:szCs w:val="22"/>
        </w:rPr>
        <w:t>zpráva za nejlepší nástroj na ochranu evropských zájmů a</w:t>
      </w:r>
      <w:r>
        <w:rPr>
          <w:rFonts w:ascii="Arial" w:hAnsi="Arial" w:cs="Arial"/>
          <w:color w:val="353535"/>
          <w:sz w:val="22"/>
          <w:szCs w:val="22"/>
        </w:rPr>
        <w:t> </w:t>
      </w:r>
      <w:r w:rsidRPr="00711F75">
        <w:rPr>
          <w:rFonts w:ascii="Arial" w:hAnsi="Arial" w:cs="Arial"/>
          <w:color w:val="353535"/>
          <w:sz w:val="22"/>
          <w:szCs w:val="22"/>
        </w:rPr>
        <w:t>prosperity a také na udržení evropských principů jako je vláda práva. V tomto kontextu je</w:t>
      </w:r>
      <w:r>
        <w:rPr>
          <w:rFonts w:ascii="Arial" w:hAnsi="Arial" w:cs="Arial"/>
          <w:color w:val="353535"/>
          <w:sz w:val="22"/>
          <w:szCs w:val="22"/>
        </w:rPr>
        <w:t xml:space="preserve"> dle zprávy </w:t>
      </w:r>
      <w:r w:rsidRPr="00711F75">
        <w:rPr>
          <w:rFonts w:ascii="Arial" w:hAnsi="Arial" w:cs="Arial"/>
          <w:color w:val="353535"/>
          <w:sz w:val="22"/>
          <w:szCs w:val="22"/>
        </w:rPr>
        <w:t>potřeba diskutovat nejen cíle, ale i metodu a načasování rozšiřování EU, ale i</w:t>
      </w:r>
      <w:r>
        <w:rPr>
          <w:rFonts w:ascii="Arial" w:hAnsi="Arial" w:cs="Arial"/>
          <w:color w:val="353535"/>
          <w:sz w:val="22"/>
          <w:szCs w:val="22"/>
        </w:rPr>
        <w:t> </w:t>
      </w:r>
      <w:r w:rsidRPr="00711F75">
        <w:rPr>
          <w:rFonts w:ascii="Arial" w:hAnsi="Arial" w:cs="Arial"/>
          <w:color w:val="353535"/>
          <w:sz w:val="22"/>
          <w:szCs w:val="22"/>
        </w:rPr>
        <w:t xml:space="preserve">postupného rozšiřování výhod vnitřního trhu na kandidátské země. S tím bude zapotřebí změnit unijní kohezní politiku, kde </w:t>
      </w:r>
      <w:r>
        <w:rPr>
          <w:rFonts w:ascii="Arial" w:hAnsi="Arial" w:cs="Arial"/>
          <w:color w:val="353535"/>
          <w:sz w:val="22"/>
          <w:szCs w:val="22"/>
        </w:rPr>
        <w:t xml:space="preserve">zpráva </w:t>
      </w:r>
      <w:r w:rsidRPr="00711F75">
        <w:rPr>
          <w:rFonts w:ascii="Arial" w:hAnsi="Arial" w:cs="Arial"/>
          <w:color w:val="353535"/>
          <w:sz w:val="22"/>
          <w:szCs w:val="22"/>
        </w:rPr>
        <w:t>navrhuje ustanovit „Nástroj solidarity pro rozšiřování“.</w:t>
      </w:r>
    </w:p>
    <w:p w14:paraId="04C9B836" w14:textId="77777777" w:rsidR="00AF6F30" w:rsidRPr="00AF6F30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F30">
        <w:rPr>
          <w:rFonts w:ascii="Arial" w:hAnsi="Arial" w:cs="Arial"/>
          <w:b/>
          <w:color w:val="0070C0"/>
          <w:sz w:val="22"/>
          <w:szCs w:val="22"/>
        </w:rPr>
        <w:t>Bezpečnost</w:t>
      </w:r>
    </w:p>
    <w:p w14:paraId="49ACA5CA" w14:textId="77777777" w:rsidR="00AF6F30" w:rsidRDefault="00AF6F30" w:rsidP="00AF6F30">
      <w:pPr>
        <w:pStyle w:val="-box"/>
        <w:shd w:val="clear" w:color="auto" w:fill="FFFFFF"/>
        <w:spacing w:before="0" w:beforeAutospacing="0"/>
        <w:jc w:val="both"/>
        <w:rPr>
          <w:rFonts w:ascii="Arial" w:hAnsi="Arial" w:cs="Arial"/>
          <w:color w:val="353535"/>
          <w:sz w:val="22"/>
          <w:szCs w:val="22"/>
          <w:shd w:val="clear" w:color="auto" w:fill="FFFFFF"/>
        </w:rPr>
      </w:pPr>
      <w:r w:rsidRPr="007F1901">
        <w:rPr>
          <w:rFonts w:ascii="Arial" w:hAnsi="Arial" w:cs="Arial"/>
          <w:color w:val="353535"/>
          <w:sz w:val="22"/>
          <w:szCs w:val="22"/>
          <w:shd w:val="clear" w:color="auto" w:fill="FFFFFF"/>
        </w:rPr>
        <w:t>Zde je EU vyzvána k zaujetí komplexního přístupu a maximálnímu využití potenciálu. Průmyslová kapacita v oblasti bezpečnosti a ochrany musí projít radikální proměnou, což zpráva dokresluje na odlišných scénářích podpory Ukrajiny ze strany Evropy a Spojených státu. Na rozdíl od USA vynaložila Evropská unie 80</w:t>
      </w:r>
      <w:r>
        <w:rPr>
          <w:rFonts w:ascii="Arial" w:hAnsi="Arial" w:cs="Arial"/>
          <w:color w:val="353535"/>
          <w:sz w:val="22"/>
          <w:szCs w:val="22"/>
          <w:shd w:val="clear" w:color="auto" w:fill="FFFFFF"/>
        </w:rPr>
        <w:t xml:space="preserve"> </w:t>
      </w:r>
      <w:r w:rsidRPr="007F1901">
        <w:rPr>
          <w:rFonts w:ascii="Arial" w:hAnsi="Arial" w:cs="Arial"/>
          <w:color w:val="353535"/>
          <w:sz w:val="22"/>
          <w:szCs w:val="22"/>
          <w:shd w:val="clear" w:color="auto" w:fill="FFFFFF"/>
        </w:rPr>
        <w:t xml:space="preserve">% </w:t>
      </w:r>
      <w:r>
        <w:rPr>
          <w:rFonts w:ascii="Arial" w:hAnsi="Arial" w:cs="Arial"/>
          <w:color w:val="353535"/>
          <w:sz w:val="22"/>
          <w:szCs w:val="22"/>
          <w:shd w:val="clear" w:color="auto" w:fill="FFFFFF"/>
        </w:rPr>
        <w:t>finančních prostředků</w:t>
      </w:r>
      <w:r w:rsidRPr="007F1901">
        <w:rPr>
          <w:rFonts w:ascii="Arial" w:hAnsi="Arial" w:cs="Arial"/>
          <w:color w:val="353535"/>
          <w:sz w:val="22"/>
          <w:szCs w:val="22"/>
          <w:shd w:val="clear" w:color="auto" w:fill="FFFFFF"/>
        </w:rPr>
        <w:t xml:space="preserve"> na podporu bojující země na zbraně vyráběné mimo její teritorium. Navrhuje se vytvořit „Společný trh pro bezpečnostní a obranný průmysl“, pro který bude zapotřebí integrovat soukromé a veřejné finanční zdroje a propojit jej s NATO.</w:t>
      </w:r>
    </w:p>
    <w:p w14:paraId="7F611CBB" w14:textId="77777777" w:rsidR="00AF6F30" w:rsidRPr="00AF6F30" w:rsidRDefault="00AF6F30" w:rsidP="00AF6F30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F30">
        <w:rPr>
          <w:rFonts w:ascii="Arial" w:hAnsi="Arial" w:cs="Arial"/>
          <w:b/>
          <w:color w:val="0070C0"/>
          <w:sz w:val="22"/>
          <w:szCs w:val="22"/>
        </w:rPr>
        <w:t xml:space="preserve">Svoboda zůstat – brain </w:t>
      </w:r>
      <w:proofErr w:type="spellStart"/>
      <w:r w:rsidRPr="00AF6F30">
        <w:rPr>
          <w:rFonts w:ascii="Arial" w:hAnsi="Arial" w:cs="Arial"/>
          <w:b/>
          <w:color w:val="0070C0"/>
          <w:sz w:val="22"/>
          <w:szCs w:val="22"/>
        </w:rPr>
        <w:t>drain</w:t>
      </w:r>
      <w:proofErr w:type="spellEnd"/>
    </w:p>
    <w:p w14:paraId="4B9836C8" w14:textId="77777777" w:rsidR="00AF6F30" w:rsidRPr="002D4028" w:rsidRDefault="00AF6F30" w:rsidP="00AF6F30">
      <w:pPr>
        <w:pStyle w:val="-box"/>
        <w:shd w:val="clear" w:color="auto" w:fill="FFFFFF"/>
        <w:spacing w:before="0" w:beforeAutospacing="0"/>
        <w:jc w:val="both"/>
        <w:rPr>
          <w:rFonts w:ascii="Arial" w:hAnsi="Arial" w:cs="Arial"/>
          <w:color w:val="353535"/>
          <w:sz w:val="22"/>
          <w:szCs w:val="22"/>
        </w:rPr>
      </w:pPr>
      <w:r w:rsidRPr="002D4028">
        <w:rPr>
          <w:rFonts w:ascii="Arial" w:hAnsi="Arial" w:cs="Arial"/>
          <w:color w:val="353535"/>
          <w:sz w:val="22"/>
          <w:szCs w:val="22"/>
        </w:rPr>
        <w:t xml:space="preserve">Zpráva přichází s konceptem svobody </w:t>
      </w:r>
      <w:r>
        <w:rPr>
          <w:rFonts w:ascii="Arial" w:hAnsi="Arial" w:cs="Arial"/>
          <w:color w:val="353535"/>
          <w:sz w:val="22"/>
          <w:szCs w:val="22"/>
        </w:rPr>
        <w:t>zůstat</w:t>
      </w:r>
      <w:r w:rsidRPr="002D4028">
        <w:rPr>
          <w:rFonts w:ascii="Arial" w:hAnsi="Arial" w:cs="Arial"/>
          <w:color w:val="353535"/>
          <w:sz w:val="22"/>
          <w:szCs w:val="22"/>
        </w:rPr>
        <w:t xml:space="preserve"> (“</w:t>
      </w:r>
      <w:proofErr w:type="spellStart"/>
      <w:r w:rsidRPr="002D4028">
        <w:rPr>
          <w:rFonts w:ascii="Arial" w:hAnsi="Arial" w:cs="Arial"/>
          <w:color w:val="353535"/>
          <w:sz w:val="22"/>
          <w:szCs w:val="22"/>
        </w:rPr>
        <w:t>right</w:t>
      </w:r>
      <w:proofErr w:type="spellEnd"/>
      <w:r w:rsidRPr="002D4028">
        <w:rPr>
          <w:rFonts w:ascii="Arial" w:hAnsi="Arial" w:cs="Arial"/>
          <w:color w:val="353535"/>
          <w:sz w:val="22"/>
          <w:szCs w:val="22"/>
        </w:rPr>
        <w:t xml:space="preserve"> to </w:t>
      </w:r>
      <w:proofErr w:type="spellStart"/>
      <w:r w:rsidRPr="002D4028">
        <w:rPr>
          <w:rFonts w:ascii="Arial" w:hAnsi="Arial" w:cs="Arial"/>
          <w:color w:val="353535"/>
          <w:sz w:val="22"/>
          <w:szCs w:val="22"/>
        </w:rPr>
        <w:t>stay</w:t>
      </w:r>
      <w:proofErr w:type="spellEnd"/>
      <w:r w:rsidRPr="002D4028">
        <w:rPr>
          <w:rFonts w:ascii="Arial" w:hAnsi="Arial" w:cs="Arial"/>
          <w:color w:val="353535"/>
          <w:sz w:val="22"/>
          <w:szCs w:val="22"/>
        </w:rPr>
        <w:t xml:space="preserve">”), </w:t>
      </w:r>
      <w:r w:rsidRPr="002D40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kterou vnímá v tom smyslu, že benefity unijní integrace musí plynout i osobám na unijních periferiích, které přímo nevyužívají unijní svobody pohybu a nestěhují se za lepšími pracovními nabídkami. Pokud tyto osoby nebudou přesvědčeny, že i pro ně převládají výhody unijního členství, obává se E. </w:t>
      </w:r>
      <w:proofErr w:type="spellStart"/>
      <w:r w:rsidRPr="002D40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Letta</w:t>
      </w:r>
      <w:proofErr w:type="spellEnd"/>
      <w:r w:rsidRPr="002D40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že bude podpora unijního projektu v unijní populaci dále slábnout. V tomto ohledu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zpráva</w:t>
      </w:r>
      <w:r w:rsidRPr="002D40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konstatuje, že zhruba třetina unijní populace (135 mil. osob) žije v lokalitách, které v celounijním srovnání ekonomicky zaostávají</w:t>
      </w:r>
      <w:r w:rsidRPr="002D4028">
        <w:rPr>
          <w:rFonts w:ascii="Arial" w:hAnsi="Arial" w:cs="Arial"/>
          <w:color w:val="353535"/>
          <w:sz w:val="22"/>
          <w:szCs w:val="22"/>
        </w:rPr>
        <w:t xml:space="preserve">. A právě z důvodu omezených příležitostí jsou časti tito obyvatelé nuceni se stěhovat, čímž dochází k odlivu mozků. </w:t>
      </w:r>
    </w:p>
    <w:p w14:paraId="297A7272" w14:textId="77777777" w:rsidR="00AF6F30" w:rsidRPr="00692D8B" w:rsidRDefault="00AF6F30" w:rsidP="00692D8B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692D8B">
        <w:rPr>
          <w:rFonts w:ascii="Arial" w:hAnsi="Arial" w:cs="Arial"/>
          <w:b/>
          <w:color w:val="0070C0"/>
          <w:sz w:val="22"/>
          <w:szCs w:val="22"/>
        </w:rPr>
        <w:t>Sociální dimenze</w:t>
      </w:r>
    </w:p>
    <w:p w14:paraId="59854672" w14:textId="77777777" w:rsidR="00AF6F30" w:rsidRDefault="00AF6F30" w:rsidP="00AF6F30">
      <w:pPr>
        <w:pStyle w:val="-box"/>
        <w:shd w:val="clear" w:color="auto" w:fill="FFFFFF"/>
        <w:spacing w:before="0" w:beforeAutospacing="0"/>
        <w:jc w:val="both"/>
        <w:rPr>
          <w:rFonts w:ascii="Arial" w:hAnsi="Arial" w:cs="Arial"/>
          <w:color w:val="353535"/>
          <w:sz w:val="22"/>
          <w:szCs w:val="22"/>
          <w:shd w:val="clear" w:color="auto" w:fill="FFFFFF"/>
        </w:rPr>
      </w:pPr>
      <w:r w:rsidRPr="001F548A">
        <w:rPr>
          <w:rFonts w:ascii="Arial" w:hAnsi="Arial" w:cs="Arial"/>
          <w:color w:val="353535"/>
          <w:sz w:val="22"/>
          <w:szCs w:val="22"/>
          <w:shd w:val="clear" w:color="auto" w:fill="FFFFFF"/>
        </w:rPr>
        <w:t>Zpráva upozorňuje, že jakýkoli rozvoj vnitřního trhu musí zahrnovat i sociální dimenzi. Unijní normotvůrci by měl</w:t>
      </w:r>
      <w:r>
        <w:rPr>
          <w:rFonts w:ascii="Arial" w:hAnsi="Arial" w:cs="Arial"/>
          <w:color w:val="353535"/>
          <w:sz w:val="22"/>
          <w:szCs w:val="22"/>
          <w:shd w:val="clear" w:color="auto" w:fill="FFFFFF"/>
        </w:rPr>
        <w:t>i</w:t>
      </w:r>
      <w:r w:rsidRPr="001F548A">
        <w:rPr>
          <w:rFonts w:ascii="Arial" w:hAnsi="Arial" w:cs="Arial"/>
          <w:color w:val="353535"/>
          <w:sz w:val="22"/>
          <w:szCs w:val="22"/>
          <w:shd w:val="clear" w:color="auto" w:fill="FFFFFF"/>
        </w:rPr>
        <w:t xml:space="preserve"> brát zvýšený ohled na sociální spravedlnost a soudržnost, rovné příležitosti, práva zaměstnanců a sociální ochranu. Rozvoj vnitřního trhu by současně měl být široce diskutován, a to skrze dialog v rámci ve zprávě navržené „Občanské konference“ v</w:t>
      </w:r>
      <w:r>
        <w:rPr>
          <w:rFonts w:ascii="Arial" w:hAnsi="Arial" w:cs="Arial"/>
          <w:color w:val="353535"/>
          <w:sz w:val="22"/>
          <w:szCs w:val="22"/>
          <w:shd w:val="clear" w:color="auto" w:fill="FFFFFF"/>
        </w:rPr>
        <w:t> </w:t>
      </w:r>
      <w:r w:rsidRPr="001F548A">
        <w:rPr>
          <w:rFonts w:ascii="Arial" w:hAnsi="Arial" w:cs="Arial"/>
          <w:color w:val="353535"/>
          <w:sz w:val="22"/>
          <w:szCs w:val="22"/>
          <w:shd w:val="clear" w:color="auto" w:fill="FFFFFF"/>
        </w:rPr>
        <w:t>souladu s výstupy a cíli Konference o budoucnosti Evropy.</w:t>
      </w:r>
    </w:p>
    <w:p w14:paraId="68EC64BE" w14:textId="77777777" w:rsidR="00AF6F30" w:rsidRPr="00692D8B" w:rsidRDefault="00AF6F30" w:rsidP="00692D8B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692D8B">
        <w:rPr>
          <w:rFonts w:ascii="Arial" w:hAnsi="Arial" w:cs="Arial"/>
          <w:b/>
          <w:color w:val="0070C0"/>
          <w:sz w:val="22"/>
          <w:szCs w:val="22"/>
        </w:rPr>
        <w:t>Konkurenceschopnost (souhrn)</w:t>
      </w:r>
    </w:p>
    <w:p w14:paraId="4FE1CB5A" w14:textId="77777777" w:rsidR="00AF6F30" w:rsidRPr="00241491" w:rsidRDefault="00AF6F30" w:rsidP="00AF6F30">
      <w:pPr>
        <w:pStyle w:val="-box"/>
        <w:shd w:val="clear" w:color="auto" w:fill="FFFFFF"/>
        <w:spacing w:before="0" w:beforeAutospacing="0"/>
        <w:jc w:val="both"/>
        <w:rPr>
          <w:rFonts w:ascii="Arial" w:hAnsi="Arial" w:cs="Arial"/>
          <w:color w:val="1A1A36"/>
          <w:sz w:val="22"/>
          <w:szCs w:val="22"/>
        </w:rPr>
      </w:pPr>
      <w:r w:rsidRPr="00241491">
        <w:rPr>
          <w:rFonts w:ascii="Arial" w:hAnsi="Arial" w:cs="Arial"/>
          <w:color w:val="1A1A36"/>
          <w:sz w:val="22"/>
          <w:szCs w:val="22"/>
        </w:rPr>
        <w:t>Jedním z ústředních bodů zprávy je potřeba účinné integrace jednotného trhu a chápat ho jako nástroj k řešení řady problémů, které mají na EU vliv, a netýkají se pouze záležitostí čistě obchodních.</w:t>
      </w:r>
    </w:p>
    <w:p w14:paraId="24431EFA" w14:textId="77777777" w:rsidR="00AF6F30" w:rsidRPr="00462D5E" w:rsidRDefault="00AF6F30" w:rsidP="00AF6F30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62D5E">
        <w:rPr>
          <w:rFonts w:ascii="Arial" w:hAnsi="Arial" w:cs="Arial"/>
          <w:sz w:val="22"/>
          <w:szCs w:val="22"/>
        </w:rPr>
        <w:t>Zpráva vyzývá k:</w:t>
      </w:r>
    </w:p>
    <w:p w14:paraId="3E082A26" w14:textId="77777777" w:rsidR="00AF6F30" w:rsidRPr="00462D5E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2D5E">
        <w:rPr>
          <w:rFonts w:ascii="Arial" w:hAnsi="Arial" w:cs="Arial"/>
          <w:sz w:val="22"/>
          <w:szCs w:val="22"/>
        </w:rPr>
        <w:t>integraci klíčových sektorů, jako jsou </w:t>
      </w:r>
      <w:r w:rsidRPr="00462D5E">
        <w:rPr>
          <w:rStyle w:val="Siln"/>
          <w:rFonts w:ascii="Arial" w:eastAsiaTheme="majorEastAsia" w:hAnsi="Arial" w:cs="Arial"/>
          <w:b w:val="0"/>
          <w:bCs w:val="0"/>
          <w:sz w:val="22"/>
          <w:szCs w:val="22"/>
        </w:rPr>
        <w:t>energetika, telekomunikace a finanční trhy</w:t>
      </w:r>
      <w:r w:rsidRPr="00462D5E">
        <w:rPr>
          <w:rFonts w:ascii="Arial" w:hAnsi="Arial" w:cs="Arial"/>
          <w:sz w:val="22"/>
          <w:szCs w:val="22"/>
        </w:rPr>
        <w:t>, které jsou zásadní pro zajištění konkurenceschopnosti Evropy vůči ostatním globálním mocnostem, jako jsou Spojené státy a Čína;</w:t>
      </w:r>
    </w:p>
    <w:p w14:paraId="5A45B8AA" w14:textId="77777777" w:rsidR="00AF6F30" w:rsidRPr="00462D5E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Style w:val="Siln"/>
          <w:rFonts w:ascii="Arial" w:hAnsi="Arial" w:cs="Arial"/>
          <w:sz w:val="22"/>
          <w:szCs w:val="22"/>
        </w:rPr>
      </w:pPr>
      <w:r w:rsidRPr="00462D5E">
        <w:rPr>
          <w:rFonts w:ascii="Arial" w:hAnsi="Arial" w:cs="Arial"/>
          <w:sz w:val="22"/>
          <w:szCs w:val="22"/>
        </w:rPr>
        <w:t>důrazu ve vnímání významu digitálního</w:t>
      </w:r>
      <w:r w:rsidRPr="00462D5E">
        <w:rPr>
          <w:rStyle w:val="Siln"/>
          <w:rFonts w:ascii="Arial" w:eastAsiaTheme="majorEastAsia" w:hAnsi="Arial" w:cs="Arial"/>
          <w:sz w:val="22"/>
          <w:szCs w:val="22"/>
        </w:rPr>
        <w:t xml:space="preserve">, </w:t>
      </w:r>
      <w:r w:rsidRPr="00462D5E">
        <w:rPr>
          <w:rStyle w:val="Siln"/>
          <w:rFonts w:ascii="Arial" w:eastAsiaTheme="majorEastAsia" w:hAnsi="Arial" w:cs="Arial"/>
          <w:b w:val="0"/>
          <w:bCs w:val="0"/>
          <w:sz w:val="22"/>
          <w:szCs w:val="22"/>
        </w:rPr>
        <w:t>zeleného a spravedlivého přechodu</w:t>
      </w:r>
      <w:r w:rsidRPr="00462D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62D5E">
        <w:rPr>
          <w:rFonts w:ascii="Arial" w:hAnsi="Arial" w:cs="Arial"/>
          <w:sz w:val="22"/>
          <w:szCs w:val="22"/>
        </w:rPr>
        <w:t>jakož i</w:t>
      </w:r>
      <w:r>
        <w:rPr>
          <w:rFonts w:ascii="Arial" w:hAnsi="Arial" w:cs="Arial"/>
          <w:sz w:val="22"/>
          <w:szCs w:val="22"/>
        </w:rPr>
        <w:t> </w:t>
      </w:r>
      <w:r w:rsidRPr="00462D5E">
        <w:rPr>
          <w:rFonts w:ascii="Arial" w:hAnsi="Arial" w:cs="Arial"/>
          <w:sz w:val="22"/>
          <w:szCs w:val="22"/>
        </w:rPr>
        <w:t>posílení</w:t>
      </w:r>
      <w:r w:rsidRPr="00462D5E">
        <w:rPr>
          <w:rFonts w:ascii="Arial" w:hAnsi="Arial" w:cs="Arial"/>
          <w:b/>
          <w:bCs/>
          <w:sz w:val="22"/>
          <w:szCs w:val="22"/>
        </w:rPr>
        <w:t> </w:t>
      </w:r>
      <w:r w:rsidRPr="00462D5E">
        <w:rPr>
          <w:rStyle w:val="Siln"/>
          <w:rFonts w:ascii="Arial" w:eastAsiaTheme="majorEastAsia" w:hAnsi="Arial" w:cs="Arial"/>
          <w:b w:val="0"/>
          <w:bCs w:val="0"/>
          <w:sz w:val="22"/>
          <w:szCs w:val="22"/>
        </w:rPr>
        <w:t>bezpečnosti a obrany;</w:t>
      </w:r>
    </w:p>
    <w:p w14:paraId="3FCA28D3" w14:textId="77777777" w:rsidR="00AF6F30" w:rsidRPr="00462D5E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Style w:val="Siln"/>
          <w:rFonts w:ascii="Arial" w:hAnsi="Arial" w:cs="Arial"/>
          <w:sz w:val="22"/>
          <w:szCs w:val="22"/>
        </w:rPr>
      </w:pPr>
      <w:r w:rsidRPr="00462D5E">
        <w:rPr>
          <w:rFonts w:ascii="Arial" w:hAnsi="Arial" w:cs="Arial"/>
          <w:sz w:val="22"/>
          <w:szCs w:val="22"/>
        </w:rPr>
        <w:t>většímu počtu partnerství veřejného a soukromého sektoru a veřejné podpory na</w:t>
      </w:r>
      <w:r>
        <w:rPr>
          <w:rFonts w:ascii="Arial" w:hAnsi="Arial" w:cs="Arial"/>
          <w:sz w:val="22"/>
          <w:szCs w:val="22"/>
        </w:rPr>
        <w:t> </w:t>
      </w:r>
      <w:r w:rsidRPr="00462D5E">
        <w:rPr>
          <w:rFonts w:ascii="Arial" w:hAnsi="Arial" w:cs="Arial"/>
          <w:sz w:val="22"/>
          <w:szCs w:val="22"/>
        </w:rPr>
        <w:t>evropské úrovni, pokud jde o </w:t>
      </w:r>
      <w:r w:rsidRPr="00462D5E">
        <w:rPr>
          <w:rStyle w:val="Siln"/>
          <w:rFonts w:ascii="Arial" w:eastAsiaTheme="majorEastAsia" w:hAnsi="Arial" w:cs="Arial"/>
          <w:b w:val="0"/>
          <w:bCs w:val="0"/>
          <w:sz w:val="22"/>
          <w:szCs w:val="22"/>
        </w:rPr>
        <w:t>financování;</w:t>
      </w:r>
    </w:p>
    <w:p w14:paraId="498D030A" w14:textId="77777777" w:rsidR="00AF6F30" w:rsidRPr="00462D5E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2D5E">
        <w:rPr>
          <w:rFonts w:ascii="Arial" w:hAnsi="Arial" w:cs="Arial"/>
          <w:sz w:val="22"/>
          <w:szCs w:val="22"/>
        </w:rPr>
        <w:lastRenderedPageBreak/>
        <w:t>omezení a úpravě vnitrostátní podpor</w:t>
      </w:r>
      <w:r>
        <w:rPr>
          <w:rFonts w:ascii="Arial" w:hAnsi="Arial" w:cs="Arial"/>
          <w:sz w:val="22"/>
          <w:szCs w:val="22"/>
        </w:rPr>
        <w:t>y</w:t>
      </w:r>
      <w:r w:rsidRPr="00462D5E">
        <w:rPr>
          <w:rFonts w:ascii="Arial" w:hAnsi="Arial" w:cs="Arial"/>
          <w:sz w:val="22"/>
          <w:szCs w:val="22"/>
        </w:rPr>
        <w:t>, aby se zabránilo roztříštění vnitřního trhu, a</w:t>
      </w:r>
      <w:r>
        <w:rPr>
          <w:rFonts w:ascii="Arial" w:hAnsi="Arial" w:cs="Arial"/>
          <w:sz w:val="22"/>
          <w:szCs w:val="22"/>
        </w:rPr>
        <w:t> </w:t>
      </w:r>
      <w:r w:rsidRPr="00462D5E">
        <w:rPr>
          <w:rFonts w:ascii="Arial" w:hAnsi="Arial" w:cs="Arial"/>
          <w:sz w:val="22"/>
          <w:szCs w:val="22"/>
        </w:rPr>
        <w:t xml:space="preserve">také </w:t>
      </w:r>
      <w:r>
        <w:rPr>
          <w:rFonts w:ascii="Arial" w:hAnsi="Arial" w:cs="Arial"/>
          <w:sz w:val="22"/>
          <w:szCs w:val="22"/>
        </w:rPr>
        <w:t xml:space="preserve">k </w:t>
      </w:r>
      <w:r w:rsidRPr="00462D5E">
        <w:rPr>
          <w:rFonts w:ascii="Arial" w:hAnsi="Arial" w:cs="Arial"/>
          <w:sz w:val="22"/>
          <w:szCs w:val="22"/>
        </w:rPr>
        <w:t>vytvoření Spořicí a investiční unie, která by nasměrovala investice do</w:t>
      </w:r>
      <w:r>
        <w:rPr>
          <w:rFonts w:ascii="Arial" w:hAnsi="Arial" w:cs="Arial"/>
          <w:sz w:val="22"/>
          <w:szCs w:val="22"/>
        </w:rPr>
        <w:t> </w:t>
      </w:r>
      <w:r w:rsidRPr="00462D5E">
        <w:rPr>
          <w:rFonts w:ascii="Arial" w:hAnsi="Arial" w:cs="Arial"/>
          <w:sz w:val="22"/>
          <w:szCs w:val="22"/>
        </w:rPr>
        <w:t>strategických odvětví, jako jsou telekomunikace a finance;</w:t>
      </w:r>
    </w:p>
    <w:p w14:paraId="41BA6F0C" w14:textId="77777777" w:rsidR="00AF6F30" w:rsidRPr="00462D5E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2D5E">
        <w:rPr>
          <w:rFonts w:ascii="Arial" w:hAnsi="Arial" w:cs="Arial"/>
          <w:sz w:val="22"/>
          <w:szCs w:val="22"/>
        </w:rPr>
        <w:t>zintenzivnění úsilí o rozvoj </w:t>
      </w:r>
      <w:r w:rsidRPr="00462D5E">
        <w:rPr>
          <w:rStyle w:val="Siln"/>
          <w:rFonts w:ascii="Arial" w:eastAsiaTheme="majorEastAsia" w:hAnsi="Arial" w:cs="Arial"/>
          <w:b w:val="0"/>
          <w:bCs w:val="0"/>
          <w:sz w:val="22"/>
          <w:szCs w:val="22"/>
        </w:rPr>
        <w:t>konkurenceschopné průmyslové strategie</w:t>
      </w:r>
      <w:r w:rsidRPr="00462D5E">
        <w:rPr>
          <w:rStyle w:val="Siln"/>
          <w:rFonts w:ascii="Arial" w:eastAsiaTheme="majorEastAsia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v</w:t>
      </w:r>
      <w:r w:rsidRPr="00462D5E">
        <w:rPr>
          <w:rFonts w:ascii="Arial" w:hAnsi="Arial" w:cs="Arial"/>
          <w:sz w:val="22"/>
          <w:szCs w:val="22"/>
        </w:rPr>
        <w:t>e zprávě se</w:t>
      </w:r>
      <w:r>
        <w:rPr>
          <w:rFonts w:ascii="Arial" w:hAnsi="Arial" w:cs="Arial"/>
          <w:sz w:val="22"/>
          <w:szCs w:val="22"/>
        </w:rPr>
        <w:t> </w:t>
      </w:r>
      <w:r w:rsidRPr="00462D5E">
        <w:rPr>
          <w:rFonts w:ascii="Arial" w:hAnsi="Arial" w:cs="Arial"/>
          <w:sz w:val="22"/>
          <w:szCs w:val="22"/>
        </w:rPr>
        <w:t>poukazuje na to, že přístup </w:t>
      </w:r>
      <w:hyperlink r:id="rId8" w:tgtFrame="_blank" w:history="1">
        <w:r w:rsidRPr="00462D5E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důležitých projektů společného evropského zájmu (IPCEI)</w:t>
        </w:r>
      </w:hyperlink>
      <w:r w:rsidRPr="00462D5E">
        <w:rPr>
          <w:rFonts w:ascii="Arial" w:hAnsi="Arial" w:cs="Arial"/>
          <w:sz w:val="22"/>
          <w:szCs w:val="22"/>
        </w:rPr>
        <w:t> by mohl být dále rozvíjen a zobecněn do průmyslové politiky EU)</w:t>
      </w:r>
      <w:r>
        <w:rPr>
          <w:rFonts w:ascii="Arial" w:hAnsi="Arial" w:cs="Arial"/>
          <w:sz w:val="22"/>
          <w:szCs w:val="22"/>
        </w:rPr>
        <w:t>;</w:t>
      </w:r>
      <w:r w:rsidRPr="00462D5E">
        <w:rPr>
          <w:rFonts w:ascii="Arial" w:hAnsi="Arial" w:cs="Arial"/>
          <w:sz w:val="22"/>
          <w:szCs w:val="22"/>
        </w:rPr>
        <w:t xml:space="preserve"> </w:t>
      </w:r>
    </w:p>
    <w:p w14:paraId="28430616" w14:textId="77777777" w:rsidR="00AF6F30" w:rsidRPr="003F77B3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Fonts w:ascii="Arial" w:hAnsi="Arial" w:cs="Arial"/>
          <w:color w:val="1A1A36"/>
          <w:sz w:val="22"/>
          <w:szCs w:val="22"/>
        </w:rPr>
      </w:pPr>
      <w:r w:rsidRPr="003F77B3">
        <w:rPr>
          <w:rFonts w:ascii="Arial" w:hAnsi="Arial" w:cs="Arial"/>
          <w:color w:val="1A1A36"/>
          <w:sz w:val="22"/>
          <w:szCs w:val="22"/>
        </w:rPr>
        <w:t>vytvoření koherentních modelů řízení přizpůsobené konkrétním cílům politiky a zaji</w:t>
      </w:r>
      <w:r>
        <w:rPr>
          <w:rFonts w:ascii="Arial" w:hAnsi="Arial" w:cs="Arial"/>
          <w:color w:val="1A1A36"/>
          <w:sz w:val="22"/>
          <w:szCs w:val="22"/>
        </w:rPr>
        <w:t>štění</w:t>
      </w:r>
      <w:r w:rsidRPr="003F77B3">
        <w:rPr>
          <w:rFonts w:ascii="Arial" w:hAnsi="Arial" w:cs="Arial"/>
          <w:color w:val="1A1A36"/>
          <w:sz w:val="22"/>
          <w:szCs w:val="22"/>
        </w:rPr>
        <w:t xml:space="preserve"> odpovídající</w:t>
      </w:r>
      <w:r>
        <w:rPr>
          <w:rFonts w:ascii="Arial" w:hAnsi="Arial" w:cs="Arial"/>
          <w:color w:val="1A1A36"/>
          <w:sz w:val="22"/>
          <w:szCs w:val="22"/>
        </w:rPr>
        <w:t>ho</w:t>
      </w:r>
      <w:r w:rsidRPr="003F77B3">
        <w:rPr>
          <w:rFonts w:ascii="Arial" w:hAnsi="Arial" w:cs="Arial"/>
          <w:color w:val="1A1A36"/>
          <w:sz w:val="22"/>
          <w:szCs w:val="22"/>
        </w:rPr>
        <w:t xml:space="preserve"> monitorování a hodnocení opatření státní podpory;</w:t>
      </w:r>
    </w:p>
    <w:p w14:paraId="2E4D54F5" w14:textId="77777777" w:rsidR="00AF6F30" w:rsidRPr="002C2315" w:rsidRDefault="00AF6F30" w:rsidP="00AF6F30">
      <w:pPr>
        <w:pStyle w:val="Normlnweb"/>
        <w:numPr>
          <w:ilvl w:val="0"/>
          <w:numId w:val="30"/>
        </w:numPr>
        <w:spacing w:before="0" w:beforeAutospacing="0" w:after="0" w:afterAutospacing="0"/>
        <w:jc w:val="both"/>
        <w:rPr>
          <w:rFonts w:ascii="PT Serif" w:hAnsi="PT Serif"/>
          <w:color w:val="1A1A36"/>
        </w:rPr>
      </w:pPr>
      <w:r w:rsidRPr="003F77B3">
        <w:rPr>
          <w:rFonts w:ascii="Arial" w:hAnsi="Arial" w:cs="Arial"/>
          <w:color w:val="1A1A36"/>
          <w:sz w:val="22"/>
          <w:szCs w:val="22"/>
        </w:rPr>
        <w:t>snižování rozdílů v technických a administrativních kapacitách mezi členskými státy a</w:t>
      </w:r>
      <w:r>
        <w:rPr>
          <w:rFonts w:ascii="Arial" w:hAnsi="Arial" w:cs="Arial"/>
          <w:color w:val="1A1A36"/>
          <w:sz w:val="22"/>
          <w:szCs w:val="22"/>
        </w:rPr>
        <w:t> </w:t>
      </w:r>
      <w:r w:rsidRPr="003F77B3">
        <w:rPr>
          <w:rFonts w:ascii="Arial" w:hAnsi="Arial" w:cs="Arial"/>
          <w:color w:val="1A1A36"/>
          <w:sz w:val="22"/>
          <w:szCs w:val="22"/>
        </w:rPr>
        <w:t>jejich podniky jako jeden z klíčů k zajištění rovných podmínek v rámci jednotného trhu.</w:t>
      </w:r>
    </w:p>
    <w:p w14:paraId="5957CF72" w14:textId="0A5EEAEC" w:rsidR="0010248D" w:rsidRPr="00AE45E7" w:rsidRDefault="0010248D" w:rsidP="00AE45E7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10248D" w:rsidRPr="00AE45E7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6A61B" w14:textId="77777777" w:rsidR="00826C19" w:rsidRDefault="00826C19" w:rsidP="008F77F6">
      <w:r>
        <w:separator/>
      </w:r>
    </w:p>
  </w:endnote>
  <w:endnote w:type="continuationSeparator" w:id="0">
    <w:p w14:paraId="10842324" w14:textId="77777777" w:rsidR="00826C19" w:rsidRDefault="00826C1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4FA8BB85" w14:textId="2BFCF58A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6CB2C5C" wp14:editId="3B7188A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87205500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F2BE04E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692D8B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22647A70" wp14:editId="03B9E33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01062411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B7D86BC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692D8B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Strategický rámec politiky soudržnosti 2028+ v ČR (Příloha č. 7 </w:t>
                </w:r>
                <w:proofErr w:type="spellStart"/>
                <w:r w:rsidR="00692D8B">
                  <w:rPr>
                    <w:rFonts w:ascii="Arial" w:hAnsi="Arial" w:cs="Arial"/>
                    <w:bCs/>
                    <w:sz w:val="16"/>
                    <w:szCs w:val="16"/>
                  </w:rPr>
                  <w:t>Lettova</w:t>
                </w:r>
                <w:proofErr w:type="spellEnd"/>
                <w:r w:rsidR="00692D8B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 zpráva)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C41B402" w14:textId="08ADEA11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10248D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724436">
              <w:rPr>
                <w:rFonts w:ascii="Arial" w:hAnsi="Arial" w:cs="Arial"/>
                <w:bCs/>
                <w:sz w:val="16"/>
                <w:szCs w:val="16"/>
              </w:rPr>
              <w:t>Strategický rámec politiky soudržnosti 2028+ v</w:t>
            </w:r>
            <w:r w:rsidR="00692D8B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="00724436">
              <w:rPr>
                <w:rFonts w:ascii="Arial" w:hAnsi="Arial" w:cs="Arial"/>
                <w:bCs/>
                <w:sz w:val="16"/>
                <w:szCs w:val="16"/>
              </w:rPr>
              <w:t>ČR</w:t>
            </w:r>
            <w:r w:rsidR="00692D8B">
              <w:rPr>
                <w:rFonts w:ascii="Arial" w:hAnsi="Arial" w:cs="Arial"/>
                <w:bCs/>
                <w:sz w:val="16"/>
                <w:szCs w:val="16"/>
              </w:rPr>
              <w:t xml:space="preserve"> (Příloha č. 7 </w:t>
            </w:r>
            <w:proofErr w:type="spellStart"/>
            <w:r w:rsidR="00692D8B">
              <w:rPr>
                <w:rFonts w:ascii="Arial" w:hAnsi="Arial" w:cs="Arial"/>
                <w:bCs/>
                <w:sz w:val="16"/>
                <w:szCs w:val="16"/>
              </w:rPr>
              <w:t>Lettova</w:t>
            </w:r>
            <w:proofErr w:type="spellEnd"/>
            <w:r w:rsidR="00692D8B">
              <w:rPr>
                <w:rFonts w:ascii="Arial" w:hAnsi="Arial" w:cs="Arial"/>
                <w:bCs/>
                <w:sz w:val="16"/>
                <w:szCs w:val="16"/>
              </w:rPr>
              <w:t xml:space="preserve"> zpráva)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390B" w14:textId="77777777" w:rsidR="00826C19" w:rsidRDefault="00826C19" w:rsidP="008F77F6">
      <w:r>
        <w:separator/>
      </w:r>
    </w:p>
  </w:footnote>
  <w:footnote w:type="continuationSeparator" w:id="0">
    <w:p w14:paraId="238ED2E9" w14:textId="77777777" w:rsidR="00826C19" w:rsidRDefault="00826C19" w:rsidP="008F77F6">
      <w:r>
        <w:continuationSeparator/>
      </w:r>
    </w:p>
  </w:footnote>
  <w:footnote w:id="1">
    <w:p w14:paraId="67C1021C" w14:textId="77777777" w:rsidR="00AF6F30" w:rsidRPr="00AF6F30" w:rsidRDefault="00AF6F30" w:rsidP="00AF6F30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AF6F30">
        <w:rPr>
          <w:rFonts w:ascii="Arial" w:hAnsi="Arial" w:cs="Arial"/>
          <w:sz w:val="18"/>
          <w:szCs w:val="18"/>
        </w:rPr>
        <w:t>Termínem „</w:t>
      </w:r>
      <w:proofErr w:type="spellStart"/>
      <w:r w:rsidRPr="00AF6F30">
        <w:rPr>
          <w:rFonts w:ascii="Arial" w:hAnsi="Arial" w:cs="Arial"/>
          <w:sz w:val="18"/>
          <w:szCs w:val="18"/>
        </w:rPr>
        <w:t>gold</w:t>
      </w:r>
      <w:proofErr w:type="spellEnd"/>
      <w:r w:rsidRPr="00AF6F3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F6F30">
        <w:rPr>
          <w:rFonts w:ascii="Arial" w:hAnsi="Arial" w:cs="Arial"/>
          <w:sz w:val="18"/>
          <w:szCs w:val="18"/>
        </w:rPr>
        <w:t>plating</w:t>
      </w:r>
      <w:proofErr w:type="spellEnd"/>
      <w:r w:rsidRPr="00AF6F30">
        <w:rPr>
          <w:rFonts w:ascii="Arial" w:hAnsi="Arial" w:cs="Arial"/>
          <w:sz w:val="18"/>
          <w:szCs w:val="18"/>
        </w:rPr>
        <w:t xml:space="preserve">“ se označuje postup členského státu, který při transpozici právních předpisů (nařízení, směrnice…) záměrně zesiluje požadavky Evropské unie a činí je tvrdšími, než byly v originální verzi unijního nařízení. O </w:t>
      </w:r>
      <w:proofErr w:type="spellStart"/>
      <w:r w:rsidRPr="00AF6F30">
        <w:rPr>
          <w:rFonts w:ascii="Arial" w:hAnsi="Arial" w:cs="Arial"/>
          <w:sz w:val="18"/>
          <w:szCs w:val="18"/>
        </w:rPr>
        <w:t>gold-plating</w:t>
      </w:r>
      <w:proofErr w:type="spellEnd"/>
      <w:r w:rsidRPr="00AF6F30">
        <w:rPr>
          <w:rFonts w:ascii="Arial" w:hAnsi="Arial" w:cs="Arial"/>
          <w:sz w:val="18"/>
          <w:szCs w:val="18"/>
        </w:rPr>
        <w:t xml:space="preserve"> může jít také tehdy, když členský stát nevyužije v plném rozsahu výjimek, které právo EU umožňuje.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3A7F7F80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681BC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E63751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3A7F7F80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681BC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E63751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7E647F"/>
    <w:multiLevelType w:val="hybridMultilevel"/>
    <w:tmpl w:val="8182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D7CA8"/>
    <w:multiLevelType w:val="hybridMultilevel"/>
    <w:tmpl w:val="F8F20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6223C"/>
    <w:multiLevelType w:val="hybridMultilevel"/>
    <w:tmpl w:val="88C0C79A"/>
    <w:lvl w:ilvl="0" w:tplc="FB129DDC">
      <w:numFmt w:val="bullet"/>
      <w:lvlText w:val="-"/>
      <w:lvlJc w:val="left"/>
      <w:pPr>
        <w:ind w:left="720" w:hanging="360"/>
      </w:pPr>
      <w:rPr>
        <w:rFonts w:ascii="PT Serif" w:eastAsia="Times New Roman" w:hAnsi="PT Serif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501BA"/>
    <w:multiLevelType w:val="multilevel"/>
    <w:tmpl w:val="BB06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3"/>
  </w:num>
  <w:num w:numId="13" w16cid:durableId="167139912">
    <w:abstractNumId w:val="17"/>
  </w:num>
  <w:num w:numId="14" w16cid:durableId="305205252">
    <w:abstractNumId w:val="28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9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5"/>
  </w:num>
  <w:num w:numId="22" w16cid:durableId="99686336">
    <w:abstractNumId w:val="24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6"/>
  </w:num>
  <w:num w:numId="27" w16cid:durableId="1605531147">
    <w:abstractNumId w:val="21"/>
  </w:num>
  <w:num w:numId="28" w16cid:durableId="388308544">
    <w:abstractNumId w:val="16"/>
  </w:num>
  <w:num w:numId="29" w16cid:durableId="886379222">
    <w:abstractNumId w:val="27"/>
  </w:num>
  <w:num w:numId="30" w16cid:durableId="10558593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8C6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58E0"/>
    <w:rsid w:val="000E7427"/>
    <w:rsid w:val="0010248D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C65C0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012B"/>
    <w:rsid w:val="0030455B"/>
    <w:rsid w:val="00307014"/>
    <w:rsid w:val="003070F6"/>
    <w:rsid w:val="00310690"/>
    <w:rsid w:val="00312168"/>
    <w:rsid w:val="00315BD6"/>
    <w:rsid w:val="003403ED"/>
    <w:rsid w:val="003538D0"/>
    <w:rsid w:val="00356C81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5B41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0DCC"/>
    <w:rsid w:val="004C2973"/>
    <w:rsid w:val="004C32A7"/>
    <w:rsid w:val="004C3B35"/>
    <w:rsid w:val="004C7CD8"/>
    <w:rsid w:val="004D0F2A"/>
    <w:rsid w:val="004D1459"/>
    <w:rsid w:val="004D3463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CB6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6E0C"/>
    <w:rsid w:val="00551DD3"/>
    <w:rsid w:val="00554B9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1BC4"/>
    <w:rsid w:val="006830AB"/>
    <w:rsid w:val="00683EBD"/>
    <w:rsid w:val="006900DD"/>
    <w:rsid w:val="00692D8B"/>
    <w:rsid w:val="0069489B"/>
    <w:rsid w:val="006B0034"/>
    <w:rsid w:val="006B073F"/>
    <w:rsid w:val="006B14C8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436"/>
    <w:rsid w:val="0072499F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14B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6C19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63A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5E7"/>
    <w:rsid w:val="00AF1AA7"/>
    <w:rsid w:val="00AF29CD"/>
    <w:rsid w:val="00AF53D9"/>
    <w:rsid w:val="00AF6F30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07A72"/>
    <w:rsid w:val="00C100F3"/>
    <w:rsid w:val="00C10AD2"/>
    <w:rsid w:val="00C1136C"/>
    <w:rsid w:val="00C1219A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2D5"/>
    <w:rsid w:val="00C51698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3B11"/>
    <w:rsid w:val="00D14A0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3751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1024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F6F30"/>
    <w:rPr>
      <w:i/>
      <w:iCs/>
    </w:rPr>
  </w:style>
  <w:style w:type="paragraph" w:styleId="Normlnweb">
    <w:name w:val="Normal (Web)"/>
    <w:basedOn w:val="Normln"/>
    <w:uiPriority w:val="99"/>
    <w:unhideWhenUsed/>
    <w:rsid w:val="00AF6F30"/>
    <w:pPr>
      <w:spacing w:before="100" w:beforeAutospacing="1" w:after="100" w:afterAutospacing="1"/>
    </w:pPr>
  </w:style>
  <w:style w:type="paragraph" w:customStyle="1" w:styleId="-box">
    <w:name w:val="-box"/>
    <w:basedOn w:val="Normln"/>
    <w:rsid w:val="00AF6F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bala.eu/news/approved-ipcei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245</TotalTime>
  <Pages>1</Pages>
  <Words>1430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Bříza Aleš</cp:lastModifiedBy>
  <cp:revision>10</cp:revision>
  <cp:lastPrinted>2020-10-29T10:28:00Z</cp:lastPrinted>
  <dcterms:created xsi:type="dcterms:W3CDTF">2025-04-07T06:00:00Z</dcterms:created>
  <dcterms:modified xsi:type="dcterms:W3CDTF">2025-05-14T08:45:00Z</dcterms:modified>
</cp:coreProperties>
</file>